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E7" w:rsidRPr="002F1252" w:rsidRDefault="00AE23E7" w:rsidP="00AE23E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07D442DF" wp14:editId="7516144A">
            <wp:extent cx="1300480" cy="1300480"/>
            <wp:effectExtent l="0" t="0" r="0" b="0"/>
            <wp:docPr id="9" name="Рисунок 9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7" w:rsidRPr="002F1252" w:rsidRDefault="00AE23E7" w:rsidP="00AE23E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E23E7" w:rsidRPr="002F1252" w:rsidRDefault="00AE23E7" w:rsidP="00AE23E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2F1252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AE23E7" w:rsidRPr="002F1252" w:rsidRDefault="00AE23E7" w:rsidP="00AE23E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2F1252">
        <w:rPr>
          <w:rFonts w:ascii="Calibri" w:hAnsi="Calibri" w:cs="Calibri"/>
          <w:b/>
          <w:color w:val="FF0000"/>
          <w:sz w:val="24"/>
          <w:szCs w:val="24"/>
        </w:rPr>
        <w:t>(период со 2 по 8 сентября 2024 года)</w:t>
      </w:r>
    </w:p>
    <w:p w:rsidR="00AE23E7" w:rsidRPr="002F1252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</w:p>
    <w:p w:rsidR="00F07907" w:rsidRPr="002F1252" w:rsidRDefault="00EE1052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2F1252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AE23E7" w:rsidRPr="002F1252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sz w:val="24"/>
          <w:szCs w:val="24"/>
        </w:rPr>
        <w:t xml:space="preserve">Минздрав отложил вступление Порядка медпомощи по детской онкологии ‎и гематологии еще на год 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Порядки оказания медицинской помощи по профилю «Детская онкология ‎и гематология» и диспансерного наблюдения за такими детьми вступят в силу только в сентябре 2025 году. Минздрав не готов к реализации утвержденных ранее приказов.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Минздрав отложил еще на год вступление в силу порядков оказания медицинской помощи по профилю «Детская онкология ‎и гематология» и диспансерного наблюдения за такими детьми. Документ опубликован 30 августа на портале publication.pravo.gov.ru и </w:t>
      </w:r>
      <w:hyperlink r:id="rId5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доступен на «МВ»</w:t>
        </w:r>
      </w:hyperlink>
      <w:r w:rsidRPr="002F1252">
        <w:rPr>
          <w:rFonts w:ascii="Calibri" w:hAnsi="Calibri" w:cs="Calibri"/>
          <w:sz w:val="24"/>
          <w:szCs w:val="24"/>
        </w:rPr>
        <w:t>. 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Утвержденный приказом № 55н от 05.02.2021 Порядок медпомощи по детской онкологии ‎и гематологии должен был вступить в силу 1 сентября 2022 года. В августе 2022-го срок начала его действия перенесли на два года, отложив также вступление в силу уже действовавшего Порядка диспансерного наблюдения детей с онкологическими ‎и гематологическими заболеваниями (приказ Минздрава № 629н от 10.06.2021).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Задержка </w:t>
      </w:r>
      <w:hyperlink r:id="rId6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тогда объяснялась</w:t>
        </w:r>
      </w:hyperlink>
      <w:r w:rsidRPr="002F1252">
        <w:rPr>
          <w:rFonts w:ascii="Calibri" w:hAnsi="Calibri" w:cs="Calibri"/>
          <w:sz w:val="24"/>
          <w:szCs w:val="24"/>
        </w:rPr>
        <w:t> длительными сроками подготовки детских онкологов-гематологов. Специальность «Детская онкология-гематология» </w:t>
      </w:r>
      <w:hyperlink r:id="rId7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была внесена</w:t>
        </w:r>
      </w:hyperlink>
      <w:r w:rsidRPr="002F1252">
        <w:rPr>
          <w:rFonts w:ascii="Calibri" w:hAnsi="Calibri" w:cs="Calibri"/>
          <w:sz w:val="24"/>
          <w:szCs w:val="24"/>
        </w:rPr>
        <w:t> в 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 и в Номенклатуру должностей в октябре 2020 года. 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По </w:t>
      </w:r>
      <w:hyperlink r:id="rId8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данным</w:t>
        </w:r>
      </w:hyperlink>
      <w:r w:rsidRPr="002F1252">
        <w:rPr>
          <w:rFonts w:ascii="Calibri" w:hAnsi="Calibri" w:cs="Calibri"/>
          <w:sz w:val="24"/>
          <w:szCs w:val="24"/>
        </w:rPr>
        <w:t> Минздрава, укомплектованность отрасли врачами-онкологами, в том числе детскими, в последние пять лет выросла на 29% — с 7963 в 2018 году до 10 901 в 2023-м. Но дефицит кадров в этой области по-прежнему ощутим. В связи с этим ведомство планирует сейчас разрешить переучиваться на детского онколога врачам-офтальмологам, детским урологам-</w:t>
      </w:r>
      <w:proofErr w:type="spellStart"/>
      <w:r w:rsidRPr="002F1252">
        <w:rPr>
          <w:rFonts w:ascii="Calibri" w:hAnsi="Calibri" w:cs="Calibri"/>
          <w:sz w:val="24"/>
          <w:szCs w:val="24"/>
        </w:rPr>
        <w:t>андрологам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, нейрохирургам, ортопедам-травматологам, </w:t>
      </w:r>
      <w:proofErr w:type="spellStart"/>
      <w:r w:rsidRPr="002F1252">
        <w:rPr>
          <w:rFonts w:ascii="Calibri" w:hAnsi="Calibri" w:cs="Calibri"/>
          <w:sz w:val="24"/>
          <w:szCs w:val="24"/>
        </w:rPr>
        <w:t>оториноларингологам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и урологам. Проект обновлений в Квалификационные требования был размещен на портале regulation.gov.ru 15 августа 2024 года, </w:t>
      </w:r>
      <w:hyperlink r:id="rId9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 «МВ»</w:t>
        </w:r>
      </w:hyperlink>
      <w:r w:rsidRPr="002F1252">
        <w:rPr>
          <w:rFonts w:ascii="Calibri" w:hAnsi="Calibri" w:cs="Calibri"/>
          <w:sz w:val="24"/>
          <w:szCs w:val="24"/>
        </w:rPr>
        <w:t xml:space="preserve">. После переиздания приказа № 206н необходимые квалификационные требования к </w:t>
      </w:r>
      <w:r w:rsidRPr="002F1252">
        <w:rPr>
          <w:rFonts w:ascii="Calibri" w:hAnsi="Calibri" w:cs="Calibri"/>
          <w:sz w:val="24"/>
          <w:szCs w:val="24"/>
        </w:rPr>
        <w:lastRenderedPageBreak/>
        <w:t>медработникам будут включены в трудовые функции профессионального стандарта «Врач — детский онколог», следует из документа.</w:t>
      </w:r>
    </w:p>
    <w:p w:rsidR="00AE23E7" w:rsidRPr="002F1252" w:rsidRDefault="002F1252" w:rsidP="00AE23E7">
      <w:pPr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AE23E7" w:rsidRPr="002F1252">
          <w:rPr>
            <w:rStyle w:val="a3"/>
            <w:rFonts w:ascii="Calibri" w:hAnsi="Calibri" w:cs="Calibri"/>
            <w:sz w:val="24"/>
            <w:szCs w:val="24"/>
          </w:rPr>
          <w:t>https://medvestnik.ru/content/news/Minzdrav-otlojit-vstuplenie-Poryadka-medpomoshi-po-detskoi-onkologii-i-gematologii-eshe-na-god.html</w:t>
        </w:r>
      </w:hyperlink>
    </w:p>
    <w:p w:rsidR="00AE23E7" w:rsidRPr="002F1252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sz w:val="24"/>
          <w:szCs w:val="24"/>
        </w:rPr>
        <w:t>Минздрав отменил 50</w:t>
      </w:r>
      <w:r w:rsidR="00E7189A" w:rsidRPr="002F1252">
        <w:rPr>
          <w:rFonts w:ascii="Calibri" w:hAnsi="Calibri" w:cs="Calibri"/>
          <w:b/>
          <w:sz w:val="24"/>
          <w:szCs w:val="24"/>
        </w:rPr>
        <w:t>8</w:t>
      </w:r>
      <w:r w:rsidRPr="002F1252">
        <w:rPr>
          <w:rFonts w:ascii="Calibri" w:hAnsi="Calibri" w:cs="Calibri"/>
          <w:b/>
          <w:sz w:val="24"/>
          <w:szCs w:val="24"/>
        </w:rPr>
        <w:t xml:space="preserve"> стандартов медпомощи 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Минздрав отменил 500 стандартов медпомощи. Ведомство объясняло, что они потеряли актуальность, не соответствуют современным подходам в организации оказания медицинской помощи.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Минздрав России признал утратившими силу 508 ведомственных приказов и отдельных положений нормативных актов о стандартах медицинской помощи. Зарегистрированный Минюстом ведомственный приказ </w:t>
      </w:r>
      <w:hyperlink w:tgtFrame="_blank" w:history="1">
        <w:r w:rsidRPr="002F1252">
          <w:rPr>
            <w:rStyle w:val="s2"/>
            <w:rFonts w:ascii="Calibri" w:hAnsi="Calibri" w:cs="Calibri"/>
            <w:color w:val="E1442F"/>
            <w:sz w:val="24"/>
            <w:szCs w:val="24"/>
          </w:rPr>
          <w:t>доступен на «МВ»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.</w:t>
      </w:r>
      <w:r w:rsidRPr="002F125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Большая часть упраздненных нормативных актов были изданы в 2012 году. В списке устаревших стандарты оказания медицинской помощи (первичной медико-санитарной, специализированной, скорой) детям и взрослым при различных заболеваниях и состояниях. Например, стандарта оказания медпомощи при бесплодии с использованием вспомогательных репродуктивных технологий, при помощи детям с язвой желудка, при пневмонии с осложнениями и т.д.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Упразднение действующих стандартов Минздрав ранее </w:t>
      </w:r>
      <w:hyperlink r:id="rId11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</w:rPr>
          <w:t>объяснял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тем, что они потеряли актуальность, не соответствуют современным подходам в организации оказания медицинской помощи. Кроме того, они содержат значительное число внутренних противоречий, не учитывают сформированную доказательную базу назначения и применения медицинских услуг и не могут использоваться для медико-экономического планирования.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Минздрав в последнее время ведет активную работу по обновлению стандартов медпомощи. Так, в апреле ведомство утвердило </w:t>
      </w:r>
      <w:hyperlink r:id="rId12" w:history="1">
        <w:r w:rsidRPr="002F1252">
          <w:rPr>
            <w:rStyle w:val="s3"/>
            <w:rFonts w:ascii="Calibri" w:hAnsi="Calibri" w:cs="Calibri"/>
            <w:color w:val="E1442F"/>
            <w:sz w:val="24"/>
            <w:szCs w:val="24"/>
          </w:rPr>
          <w:t>новый стандарт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лечения взрослых пациентов с ОРВИ. Значительно сократился срок лечения заболевания, число рекомендуемых лекарств, а также перечень лабораторных исследований. Необходимость пересмотра стандартов связана в том числе с </w:t>
      </w:r>
      <w:hyperlink r:id="rId13" w:history="1">
        <w:r w:rsidRPr="002F1252">
          <w:rPr>
            <w:rStyle w:val="s3"/>
            <w:rFonts w:ascii="Calibri" w:hAnsi="Calibri" w:cs="Calibri"/>
            <w:color w:val="E1442F"/>
            <w:sz w:val="24"/>
            <w:szCs w:val="24"/>
          </w:rPr>
          <w:t>готовящимся переходом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российского здравоохранения на принцип обязательности соблюдения клинических рекомендаций (КР) на всех уровнях медицинской помощи. Ведомство уже планирует разместить на портале непрерывного медицинского и фармацевтического образования тематические интерактивно-образовательные модули для освоения врачами новых КР, подавляющее большинство специалистов должны будут ознакомиться с ними в срок до 1 января 2025 года, </w:t>
      </w:r>
      <w:hyperlink r:id="rId14" w:history="1">
        <w:r w:rsidRPr="002F1252">
          <w:rPr>
            <w:rStyle w:val="s3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. 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В июне также стало известно, что стандарты медпомощи </w:t>
      </w:r>
      <w:hyperlink r:id="rId15" w:history="1">
        <w:r w:rsidRPr="002F1252">
          <w:rPr>
            <w:rStyle w:val="s2"/>
            <w:rFonts w:ascii="Calibri" w:hAnsi="Calibri" w:cs="Calibri"/>
            <w:color w:val="E1442F"/>
            <w:sz w:val="24"/>
            <w:szCs w:val="24"/>
          </w:rPr>
          <w:t>не будут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оцениваться при проведении контрольно-экспертных мероприятий. Кроме того, стандарты медицинской помощи выведены из-под действия федерального закона «Об обязательных требованиях в Российской Федерации».</w:t>
      </w:r>
    </w:p>
    <w:p w:rsidR="00AE23E7" w:rsidRPr="002F1252" w:rsidRDefault="002F1252" w:rsidP="00AE23E7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="00AE23E7" w:rsidRPr="002F1252">
          <w:rPr>
            <w:rStyle w:val="a3"/>
            <w:rFonts w:ascii="Calibri" w:hAnsi="Calibri" w:cs="Calibri"/>
            <w:sz w:val="24"/>
            <w:szCs w:val="24"/>
          </w:rPr>
          <w:t>https://medvestnik.ru/content/news/Minzdrav-otmenil-508-standartov-medpomoshi.html</w:t>
        </w:r>
      </w:hyperlink>
    </w:p>
    <w:p w:rsidR="00AE23E7" w:rsidRPr="002F1252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EE1052" w:rsidRPr="002F1252" w:rsidRDefault="00EE1052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sz w:val="24"/>
          <w:szCs w:val="24"/>
        </w:rPr>
        <w:t xml:space="preserve">Минздрав предложил увеличить объем финансирования медучреждений на оплату труда </w:t>
      </w:r>
    </w:p>
    <w:p w:rsidR="00EE1052" w:rsidRPr="002F1252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Территориальные фонды ОМС смогут выделять больше денег </w:t>
      </w:r>
      <w:proofErr w:type="spellStart"/>
      <w:r w:rsidRPr="002F1252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на оплату труда медработников. Объем нераспределенных резервов ФОМС на указанные цели планируется увеличить до 30%.</w:t>
      </w:r>
    </w:p>
    <w:p w:rsidR="00EE1052" w:rsidRPr="002F1252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Минздрав предложил увеличить объем нераспределенных резервов Федерального фонда ОМС (ФОМС) для </w:t>
      </w:r>
      <w:proofErr w:type="spellStart"/>
      <w:r w:rsidRPr="002F1252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расходов медучреждений на оплату труда медперсонала, а также для выплат за выявление </w:t>
      </w:r>
      <w:proofErr w:type="spellStart"/>
      <w:r w:rsidRPr="002F1252">
        <w:rPr>
          <w:rFonts w:ascii="Calibri" w:hAnsi="Calibri" w:cs="Calibri"/>
          <w:sz w:val="24"/>
          <w:szCs w:val="24"/>
        </w:rPr>
        <w:t>онкозаболеваний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при проведении диспансеризации на 10%. </w:t>
      </w:r>
      <w:hyperlink r:id="rId17" w:tgtFrame="_blank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постановления</w:t>
        </w:r>
      </w:hyperlink>
      <w:r w:rsidRPr="002F1252">
        <w:rPr>
          <w:rFonts w:ascii="Calibri" w:hAnsi="Calibri" w:cs="Calibri"/>
          <w:sz w:val="24"/>
          <w:szCs w:val="24"/>
        </w:rPr>
        <w:t> правительства опубликован на портале проектов нормативных правовых актов. </w:t>
      </w:r>
    </w:p>
    <w:p w:rsidR="00EE1052" w:rsidRPr="002F1252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Изменения вносятся в постановления правительства № 1910 от 27.12.2019 и № 1940 от 30.12.2019. Средства нераспределенного резерва направляются на предоставление трансфертов территориальным фондам ОМС (ТФОМС) в случае недостаточности предусмотренных в их бюджетах объемов нормированного страхового запаса (НСЗ) на такие цели. Деньги должны перечисляться в течение 10 рабочих дней с начала текущего месяца, исходя из одной двенадцатой годового объема таких ассигнований.</w:t>
      </w:r>
    </w:p>
    <w:p w:rsidR="00EE1052" w:rsidRPr="002F1252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Согласно пояснительной записке, документ разработан в целях урегулирования расходов ФОМС по денежным выплатам на оплату труда врачей и среднего медперсонала, а также медработникам за выявление онкологических заболеваний в ходе проведения диспансеризации и профилактических медицинских осмотров населения. По данным Минздрава, в 2023 году дополнительные средства из резерва запрашивали 52 ТФОМС, что составляло 99,9% от утвержденного объема. Проектом постановления предлагается увеличить объем резерва на указанные цели с 20 до 30% от общего объема межбюджетных трансфертов.</w:t>
      </w:r>
    </w:p>
    <w:p w:rsidR="00EE1052" w:rsidRPr="002F1252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Кроме того, отменена норма, согласно которой размер ежемесячных трансфертов ТФОМС должен был уменьшаться на сумму остатков средств, образовавшихся в результате их неполного использования. Анализ Минздрава показал, ‎что у большинства территориальных фондов, как правило, деньги остаются из-за позднего предоставления </w:t>
      </w:r>
      <w:proofErr w:type="spellStart"/>
      <w:r w:rsidRPr="002F1252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заявок, в связи с чем финансирование переходит на следующий месяц. Это «создает искусственную недостаточность средств для финансирования заявок медицинских организаций в последующие периоды. В связи с чем территориальные фонды вынуждены обращаться в Федеральный фонд с целью предоставления средств из нераспределенного резерва», говорится в пояснительной записке.</w:t>
      </w:r>
    </w:p>
    <w:p w:rsidR="00EE1052" w:rsidRPr="002F1252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Ранее регионы среди причин низкого освоения субсидий ФОМС на оплату труда медработников называли отток медработников в субъекты с более высоким уровнем оплаты труда, переход специалистов в частные или ведомственные медицинские организации, а в период пандемии COVID-19 – в инфекционные госпитали, где выплачивались надбавки за борьбу с </w:t>
      </w:r>
      <w:proofErr w:type="spellStart"/>
      <w:r w:rsidRPr="002F1252">
        <w:rPr>
          <w:rFonts w:ascii="Calibri" w:hAnsi="Calibri" w:cs="Calibri"/>
          <w:sz w:val="24"/>
          <w:szCs w:val="24"/>
        </w:rPr>
        <w:t>коронавирусной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инфекцией, </w:t>
      </w:r>
      <w:hyperlink r:id="rId18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 «МВ»</w:t>
        </w:r>
      </w:hyperlink>
      <w:r w:rsidRPr="002F1252">
        <w:rPr>
          <w:rFonts w:ascii="Calibri" w:hAnsi="Calibri" w:cs="Calibri"/>
          <w:sz w:val="24"/>
          <w:szCs w:val="24"/>
        </w:rPr>
        <w:t xml:space="preserve">. Кроме того, выходили на пенсию и увольнялись из-за сложной эпидемиологической обстановки пожилые врачи, а выпускники </w:t>
      </w:r>
      <w:proofErr w:type="spellStart"/>
      <w:r w:rsidRPr="002F1252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не особенно стремились выполнять обязательства по договорам о целевом обучении и трудоустраиваться в госучреждения здравоохранения.</w:t>
      </w:r>
    </w:p>
    <w:p w:rsidR="00EE1052" w:rsidRPr="002F1252" w:rsidRDefault="002F1252" w:rsidP="00AE23E7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EE1052" w:rsidRPr="002F1252">
          <w:rPr>
            <w:rStyle w:val="a3"/>
            <w:rFonts w:ascii="Calibri" w:hAnsi="Calibri" w:cs="Calibri"/>
            <w:sz w:val="24"/>
            <w:szCs w:val="24"/>
          </w:rPr>
          <w:t>https://medvestnik.ru/content/news/Minzdrav-predlojil-uvelichit-obem-finansirovaniya-meduchrejdenii-na-oplatu-truda.html?utm_source=yxnews&amp;utm_medium=desktop&amp;utm_referrer=https%3A%2F%2Fdzen.ru%2Fnews%2Fsearch%3Ftext%3D</w:t>
        </w:r>
      </w:hyperlink>
    </w:p>
    <w:p w:rsidR="00EE1052" w:rsidRPr="002F1252" w:rsidRDefault="00EE1052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sz w:val="24"/>
          <w:szCs w:val="24"/>
        </w:rPr>
        <w:t>Постановку диагнозов страховщики откорректируют рублем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828282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828282"/>
          <w:sz w:val="24"/>
          <w:szCs w:val="24"/>
          <w:lang w:eastAsia="ru-RU"/>
        </w:rPr>
        <w:t>Как штрафовать за ошибочные диагнозы врачей и поликлиники, разъяснил страховым организациям Фонд обязательного медицинского страхования.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6 августа фонд направил письмо в территориальные отделения ОМС и разместил документ в открытом доступе на сайте организации. Авторы подробно расписали алгоритм, как страховщики должны выявлять промахи врачей и поликлиник.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Каждый месяц территориальные фонды должны отбирать случаи, когда больной попал на больничную койку и ему впервые устанавливают диагноз. Затем сотрудники сравнят данные с результатами диспансеризации пациента, если он ее проходил "в течение года до оказания медицинской помощи".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После этого аналитику проверят специалисты медико-экономической экспертизы и экспертизы качества медицинской помощи, сообщает в письме региональным отделениям председатель Фонда обязательного медицинского страхования Илья </w:t>
      </w:r>
      <w:proofErr w:type="spellStart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Баланин</w:t>
      </w:r>
      <w:proofErr w:type="spellEnd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В случаях, когда медицинские специалисты не смогли обнаружить у пациентов опасную болезнь или ставят ошибочный диагноз, страховщики будут урезать клиникам финансирование. В приложении к письму указаны 275 диагнозов. Речь идет о злокачественных образованиях, новообразованиях, сахарном диабете и его осложнениях, гипертонии, гастрите, желудочной язве, стенокардии, ишемии и других заболеваниях сердечно-сосудистой системы и органов пищеварения.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Отчеты о проделанной работе страховые компании должны направлять в территориальный фонд ОМС один раз в квартал, а сводные - по итогам 6, 9 и 12 месяцев года.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"Контроль за качеством медпомощи, оказываемой по ОМС, является обязанностью страховых организаций. Наша поликлиника еще не получила данное письмо и другие указания по взаимодействию по этому документу, но работа наших врачей и до этого контролировалась специалистами территориального фонда обязательного медицинского страхования", - говорит и. о. руководителя Вологодской городской поликлиники N 1 Елена </w:t>
      </w:r>
      <w:proofErr w:type="spellStart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Поткина</w:t>
      </w:r>
      <w:proofErr w:type="spellEnd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Главврач еще одной поликлиники N 3 в Вологде Александр Кудряков подтверждает, что представители регионального отделения пока не разъяснили основания для новых штрафов.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В соответствии с действующей в Российской Федерации системой, денежные средства из фонда ОМС и бюджета перечисляются клиникам в качестве возмещения затрат на лечение больных. Новый документ дает страховщикам возможность активнее наказывать врачей и медработников за промашки, тем более тема низкого качества диспансеризации часто </w:t>
      </w: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lastRenderedPageBreak/>
        <w:t xml:space="preserve">поднимается вологжанами в </w:t>
      </w:r>
      <w:proofErr w:type="spellStart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соцсетях</w:t>
      </w:r>
      <w:proofErr w:type="spellEnd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. Попытка за один день обойти всех специалистов заканчивается осмотрами "для галочки" и фиктивными врачебными записями в карточке и справке "здоров".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По словам врача общей практики, кандидата экономических наук Сергея Виноградова, врачебные ошибки при постановке диагнозов присутствуют, так происходит во всем мире.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Вся тяжесть ложится на врача-терапевта первой линии, которому нужно правильно маршрутизировать пациента. Врач отвечает за пациента, и все зависит от того, какой ущерб причинен пациенту. Но как полностью связать ответственность врача и пациента, так как есть пациенты, которые не проходят дополнительные процедуры, несмотря на назначения, задается вопросом врач. Ведь пациенты тоже несут ответственность за свое здоровье.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Это подтверждает Риза </w:t>
      </w:r>
      <w:proofErr w:type="spellStart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Касимов</w:t>
      </w:r>
      <w:proofErr w:type="spellEnd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, главный внештатный специалист по медицинской профилактике Минздрава РФ в Северо-Западном федеральном округе и департамента здравоохранения Вологодской области, который говорит не только о поддержке и улучшении первичной медицинской помощи, но и формировании ответственности пациентов перед своим здоровьем. По статистическим данным, 24 процента граждан ни разу не проходили диспансеризацию за все время ее действия. Это очень много, заявил представитель департамента, убеждая жителей </w:t>
      </w:r>
      <w:proofErr w:type="spellStart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Кадуйского</w:t>
      </w:r>
      <w:proofErr w:type="spellEnd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 района Вологодской области, где показатели по диспансеризации вдвое меньше среднестатистических по региону.</w:t>
      </w:r>
    </w:p>
    <w:p w:rsidR="00AE23E7" w:rsidRPr="002F1252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В </w:t>
      </w:r>
      <w:proofErr w:type="spellStart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Кадуйской</w:t>
      </w:r>
      <w:proofErr w:type="spellEnd"/>
      <w:r w:rsidRPr="002F1252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 ЦРБ для решения проблемы сформировали мобильные бригады, которые сами приезжают на предприятия и в организации для проведения диспансеризации.</w:t>
      </w:r>
    </w:p>
    <w:p w:rsidR="00AE23E7" w:rsidRPr="002F1252" w:rsidRDefault="00AE23E7" w:rsidP="00AE23E7">
      <w:pPr>
        <w:jc w:val="both"/>
        <w:rPr>
          <w:rFonts w:ascii="Calibri" w:hAnsi="Calibri" w:cs="Calibri"/>
          <w:color w:val="252525"/>
          <w:sz w:val="24"/>
          <w:szCs w:val="24"/>
        </w:rPr>
      </w:pPr>
      <w:r w:rsidRPr="002F1252">
        <w:rPr>
          <w:rFonts w:ascii="Calibri" w:hAnsi="Calibri" w:cs="Calibri"/>
          <w:color w:val="252525"/>
          <w:sz w:val="24"/>
          <w:szCs w:val="24"/>
        </w:rPr>
        <w:t>Еще одна идея, которую высказали представители Российского союза промышленников и предпринимателей на мероприятии в Вологодской области, проводить диспансеризацию в двухдневный срок в связи с большой загруженностью медработников. Проблемой является и отсутствие на предприятиях цеховых врачей и здравпунктов, поэтому руководство предприятий могут возродить цеховую службу, чтобы создать здоровые условия на рабочем месте, отметил вице-президент союза Виктор Черепов.</w:t>
      </w:r>
    </w:p>
    <w:p w:rsidR="00AE23E7" w:rsidRPr="002F1252" w:rsidRDefault="00AE23E7" w:rsidP="00AE23E7">
      <w:pPr>
        <w:jc w:val="both"/>
        <w:rPr>
          <w:rFonts w:ascii="Calibri" w:hAnsi="Calibri" w:cs="Calibri"/>
          <w:color w:val="252525"/>
          <w:sz w:val="24"/>
          <w:szCs w:val="24"/>
        </w:rPr>
      </w:pPr>
      <w:r w:rsidRPr="002F1252">
        <w:rPr>
          <w:rFonts w:ascii="Calibri" w:hAnsi="Calibri" w:cs="Calibri"/>
          <w:color w:val="252525"/>
          <w:sz w:val="24"/>
          <w:szCs w:val="24"/>
        </w:rPr>
        <w:t xml:space="preserve">Руководители вологодских поликлиник опасаются, что введение новых алгоритмов для штрафов станет очередным витком вечной борьбы между медицинскими учреждениями и страховыми компаниями. Чтобы изменить ситуацию с определением диагнозов, </w:t>
      </w:r>
      <w:r w:rsidRPr="002F1252">
        <w:rPr>
          <w:rFonts w:ascii="Calibri" w:hAnsi="Calibri" w:cs="Calibri"/>
          <w:color w:val="252525"/>
          <w:sz w:val="24"/>
          <w:szCs w:val="24"/>
        </w:rPr>
        <w:lastRenderedPageBreak/>
        <w:t>страховщикам стоит не ограничивать медиков в выборе исследований. Например, для назначения МРТ зачастую нужно собрать консилиум, а эта отсрочка играет против пациента, рассказал врач Сергей Виноградов.</w:t>
      </w:r>
    </w:p>
    <w:p w:rsidR="00AE23E7" w:rsidRPr="002F1252" w:rsidRDefault="00AE23E7" w:rsidP="00AE23E7">
      <w:pPr>
        <w:jc w:val="both"/>
        <w:rPr>
          <w:rFonts w:ascii="Calibri" w:hAnsi="Calibri" w:cs="Calibri"/>
          <w:color w:val="252525"/>
          <w:sz w:val="24"/>
          <w:szCs w:val="24"/>
        </w:rPr>
      </w:pPr>
      <w:r w:rsidRPr="002F1252">
        <w:rPr>
          <w:rFonts w:ascii="Calibri" w:hAnsi="Calibri" w:cs="Calibri"/>
          <w:color w:val="252525"/>
          <w:sz w:val="24"/>
          <w:szCs w:val="24"/>
        </w:rPr>
        <w:t>Пока в регионе пациенты учатся защищать свои права и права родственников в суде. В 2024 году Вологодский городской суд удовлетворил иск вдовы, которая потребовала компенсировать моральный вред со всех медицинских учреждений города, где в 2023 году умер ее супруг. И хотя экспертиза не установила причинно-следственную связь между установленными дефектами оказания медицинской помощи и наступлением смерти супруга, суд удовлетворил иск вдовы и взыскал с каждой больницы компенсацию морального вреда в размере 200 тысяч рублей.</w:t>
      </w:r>
    </w:p>
    <w:p w:rsidR="00AE23E7" w:rsidRPr="002F1252" w:rsidRDefault="002F1252" w:rsidP="00AE23E7">
      <w:pPr>
        <w:jc w:val="both"/>
        <w:rPr>
          <w:rFonts w:ascii="Calibri" w:hAnsi="Calibri" w:cs="Calibri"/>
          <w:sz w:val="24"/>
          <w:szCs w:val="24"/>
        </w:rPr>
      </w:pPr>
      <w:hyperlink r:id="rId20" w:history="1">
        <w:r w:rsidR="00AE23E7" w:rsidRPr="002F1252">
          <w:rPr>
            <w:rStyle w:val="a3"/>
            <w:rFonts w:ascii="Calibri" w:hAnsi="Calibri" w:cs="Calibri"/>
            <w:sz w:val="24"/>
            <w:szCs w:val="24"/>
          </w:rPr>
          <w:t>https://rg.ru/2024/08/27/reg-szfo/postanovku-diagnozov-strahovshchiki-otkorrektiruiut-rublem.html?utm_source=yxnews&amp;utm_medium=desktop&amp;utm_referrer=https%3A%2F%2Fdzen.ru%2Fnews%2Fsearch%3Ftext%3D</w:t>
        </w:r>
      </w:hyperlink>
    </w:p>
    <w:p w:rsidR="00AE23E7" w:rsidRPr="002F1252" w:rsidRDefault="00AE23E7" w:rsidP="00AE23E7">
      <w:pPr>
        <w:jc w:val="both"/>
        <w:rPr>
          <w:rStyle w:val="a3"/>
          <w:rFonts w:ascii="Calibri" w:hAnsi="Calibri" w:cs="Calibri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2F1252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AE23E7" w:rsidRPr="002F1252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sz w:val="24"/>
          <w:szCs w:val="24"/>
        </w:rPr>
        <w:t xml:space="preserve">В Общественной палате предложили сократить сроки ответа </w:t>
      </w:r>
      <w:proofErr w:type="spellStart"/>
      <w:r w:rsidRPr="002F1252">
        <w:rPr>
          <w:rFonts w:ascii="Calibri" w:hAnsi="Calibri" w:cs="Calibri"/>
          <w:b/>
          <w:sz w:val="24"/>
          <w:szCs w:val="24"/>
        </w:rPr>
        <w:t>медорганизации</w:t>
      </w:r>
      <w:proofErr w:type="spellEnd"/>
      <w:r w:rsidRPr="002F1252">
        <w:rPr>
          <w:rFonts w:ascii="Calibri" w:hAnsi="Calibri" w:cs="Calibri"/>
          <w:b/>
          <w:sz w:val="24"/>
          <w:szCs w:val="24"/>
        </w:rPr>
        <w:t xml:space="preserve"> на жалобу пациента 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Общественники предлагают установить сокращенные сроки рассмотрения обращений пациентов, связанных с нарушением их прав при получении медицинской помощи. Инициатива будет направлена в органы власти.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>Общественники предлагают сократить сроки рассмотрения обращений пациентов, связанных с нарушением их прав при получении медицинских услуг, с 30 до 10 рабочих дней. Инициатива будет направлена в Минздрав России, региональные органы управления здравоохранением, Федеральный фонд ОМС (ФОМС), Росздравнадзор, Совет Федерации и Госдуму, </w:t>
      </w:r>
      <w:hyperlink r:id="rId21" w:tgtFrame="_blank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2F1252">
        <w:rPr>
          <w:rFonts w:ascii="Calibri" w:hAnsi="Calibri" w:cs="Calibri"/>
          <w:sz w:val="24"/>
          <w:szCs w:val="24"/>
        </w:rPr>
        <w:t> ТАСС зампред комиссии Общественной палаты РФ по общественному контролю и работе с обращениями граждан </w:t>
      </w:r>
      <w:r w:rsidRPr="002F1252">
        <w:rPr>
          <w:rStyle w:val="a4"/>
          <w:rFonts w:ascii="Calibri" w:hAnsi="Calibri" w:cs="Calibri"/>
          <w:color w:val="1A1B1D"/>
          <w:sz w:val="24"/>
          <w:szCs w:val="24"/>
        </w:rPr>
        <w:t>Евгений Мартынов</w:t>
      </w:r>
      <w:r w:rsidRPr="002F1252">
        <w:rPr>
          <w:rFonts w:ascii="Calibri" w:hAnsi="Calibri" w:cs="Calibri"/>
          <w:sz w:val="24"/>
          <w:szCs w:val="24"/>
        </w:rPr>
        <w:t>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По его словам, граждане не видят смысла в письменных жалобах на отказы в маршрутизации, выдаче направлений, нарушении предельных сроков ожидания медпомощи и т.д. в страховые медицинские организации (СМО), к руководству </w:t>
      </w:r>
      <w:proofErr w:type="spellStart"/>
      <w:r w:rsidRPr="002F1252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или надзорные органы при нарушении их прав в государственных учреждениях здравоохранения. Причина в том, что сроки рассмотрения обращений в 30 дней, установленные федеральным законодательством, делают неактуальными принятые по результатам таких жалоб решений.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Обращение, содержащее сведения о фактах возможных нарушений законодательства в сфере здравоохранения, должно рассматриваться в гораздо более короткие сроки, уверен он. «Справедливо, если ответ будет дан в течение 10 дней со дня регистрации обращения», — уверен Мартынов. По его словам, жалобы, связанные с получением медицинской помощи, нарушением прав пациентов, проходящих лечение в стационаре, имеющих </w:t>
      </w:r>
      <w:r w:rsidRPr="002F1252">
        <w:rPr>
          <w:rFonts w:ascii="Calibri" w:hAnsi="Calibri" w:cs="Calibri"/>
          <w:sz w:val="24"/>
          <w:szCs w:val="24"/>
        </w:rPr>
        <w:lastRenderedPageBreak/>
        <w:t>паллиативный статус, несовершеннолетних, беременных женщин; пациентов, которым нарушение прав угрожает прерыванием лекарственной терапии, должны рассматриваться быстро.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sz w:val="24"/>
          <w:szCs w:val="24"/>
        </w:rPr>
        <w:t xml:space="preserve">При этом в целях сохранения высокого уровня экспертизы качества медицинской помощи страховыми </w:t>
      </w:r>
      <w:proofErr w:type="spellStart"/>
      <w:r w:rsidRPr="002F1252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 в Общественной палате считают обоснованным сохранение сроков рассмотрения обращений СМО в течение 30 дней.</w:t>
      </w:r>
    </w:p>
    <w:p w:rsidR="00AE23E7" w:rsidRPr="002F1252" w:rsidRDefault="002F1252" w:rsidP="00AE23E7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2" w:history="1">
        <w:r w:rsidR="00AE23E7" w:rsidRPr="002F1252">
          <w:rPr>
            <w:rStyle w:val="a3"/>
            <w:rFonts w:ascii="Calibri" w:hAnsi="Calibri" w:cs="Calibri"/>
            <w:sz w:val="24"/>
            <w:szCs w:val="24"/>
          </w:rPr>
          <w:t>https://medvestnik.ru/content/news/V-Obshestvennoi-palate-predlojili-sokratit-sroki-otveta-medorganizacii-na-jalobu-pacienta.html</w:t>
        </w:r>
      </w:hyperlink>
    </w:p>
    <w:p w:rsidR="00AE23E7" w:rsidRPr="002F1252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2F1252">
        <w:rPr>
          <w:rFonts w:ascii="Calibri" w:hAnsi="Calibri" w:cs="Calibri"/>
          <w:b/>
          <w:sz w:val="24"/>
          <w:szCs w:val="24"/>
        </w:rPr>
        <w:t xml:space="preserve">Больше половины врачей выступили за запрет мигрантам работать в медицине 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Больше половины опрошенных врачей выступают за запрет для мигрантов работать в российских медучреждениях. По их мнению, это позволит освободить места для российских специалистов и «подтянуть» их зарплаты. Кроме того, респонденты указывают на низкую квалификацию большинства иностранных коллег.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Почти 63% российских врачей поддерживают запрет для мигрантов работать в системе здравоохранения — такие данные получены в ходе исследования мнения интернет-аудитории </w:t>
      </w:r>
      <w:r w:rsidRPr="002F1252">
        <w:rPr>
          <w:rFonts w:ascii="Calibri" w:hAnsi="Calibri" w:cs="Calibri"/>
          <w:sz w:val="24"/>
          <w:szCs w:val="24"/>
        </w:rPr>
        <w:t>портала «</w:t>
      </w:r>
      <w:proofErr w:type="spellStart"/>
      <w:r w:rsidRPr="002F1252">
        <w:rPr>
          <w:rFonts w:ascii="Calibri" w:hAnsi="Calibri" w:cs="Calibri"/>
          <w:sz w:val="24"/>
          <w:szCs w:val="24"/>
        </w:rPr>
        <w:t>Медвестник</w:t>
      </w:r>
      <w:proofErr w:type="spellEnd"/>
      <w:r w:rsidRPr="002F1252">
        <w:rPr>
          <w:rFonts w:ascii="Calibri" w:hAnsi="Calibri" w:cs="Calibri"/>
          <w:sz w:val="24"/>
          <w:szCs w:val="24"/>
        </w:rPr>
        <w:t xml:space="preserve">», проведенного совместно с аналитической компанией RNC </w:t>
      </w:r>
      <w:proofErr w:type="spellStart"/>
      <w:r w:rsidRPr="002F1252">
        <w:rPr>
          <w:rFonts w:ascii="Calibri" w:hAnsi="Calibri" w:cs="Calibri"/>
          <w:sz w:val="24"/>
          <w:szCs w:val="24"/>
        </w:rPr>
        <w:t>Pharma</w:t>
      </w:r>
      <w:proofErr w:type="spellEnd"/>
      <w:r w:rsidRPr="002F1252">
        <w:rPr>
          <w:rFonts w:ascii="Calibri" w:hAnsi="Calibri" w:cs="Calibri"/>
          <w:sz w:val="24"/>
          <w:szCs w:val="24"/>
        </w:rPr>
        <w:t>. </w:t>
      </w:r>
      <w:hyperlink r:id="rId23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</w:rPr>
          <w:t>Опрос</w:t>
        </w:r>
      </w:hyperlink>
      <w:r w:rsidRPr="002F1252">
        <w:rPr>
          <w:rFonts w:ascii="Calibri" w:hAnsi="Calibri" w:cs="Calibri"/>
          <w:sz w:val="24"/>
          <w:szCs w:val="24"/>
        </w:rPr>
        <w:t> проводился в августе 2024 года. Общая выборка составила 473 человека, респондентами выступили медработники 53 специальностей из 98 городов России. 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Треть (38,7%) респондентов считает, что запрет на работу для мигрантов-медиков поможет освободить рабочие места. Еще 24,1% обращает внимание на то, что они «стимулируют демпинг на рынке труда», следовательно, без них улучшится ситуация с зарплатами российских специалистов.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Общее число участников исследования, которые высказались против подобных ограничений, не превышает 18%. Из них 10,6% считают это дискриминацией и уверены, что среди иностранцев могут быть врачи с высокой квалификацией. Еще 7,4% опасаются усугубления кадровых проблем в случае оттока мигрантов и резкого роста нагрузки. 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Еще почти 16% опрошенных считают важным обратить внимание на то, что идея запретов вряд ли что-то поменяет, поскольку миграционное законодательство позволяет иностранцам легко получать российское гражданство. В варианте «другое» (3,3%) многие также высказывали мнение, что для иностранных специалистов важно выработать жесткие критерии подтверждения уровня квалификации для допуска к работе.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778BFE3" wp14:editId="7E665468">
            <wp:extent cx="5997600" cy="3658064"/>
            <wp:effectExtent l="0" t="0" r="3175" b="0"/>
            <wp:docPr id="10" name="Рисунок 10" descr="component_89_(2).png (46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mponent_89_(2).png (46 KB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00" cy="36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Из общего числа участников исследования только 19,1% отметили, что в их медучреждениях не работают мигранты. Остальные сообщили, что в большинстве случаев (51,8%) иностранные специалисты работают в должности врачей — то есть профессии, которая требует высокого уровня квалификации. Мигрантов в составе младшего и среднего медперсонала, по данным опрошенных, в российских больницах 13,1 и 12% соответственно.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C11E08" wp14:editId="29A9E350">
            <wp:extent cx="6033600" cy="3243453"/>
            <wp:effectExtent l="0" t="0" r="5715" b="0"/>
            <wp:docPr id="8" name="Рисунок 8" descr="component_91.png (2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mponent_91.png (25 KB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324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52">
        <w:rPr>
          <w:rFonts w:ascii="Calibri" w:hAnsi="Calibri" w:cs="Calibri"/>
          <w:sz w:val="24"/>
          <w:szCs w:val="24"/>
        </w:rPr>
        <w:br/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 xml:space="preserve">Медработников также попросили оценить уровень квалификации мигрантов, с которыми они работают в одном медучреждении. Больше половины (60,2%) участников исследования обращают внимание на то, что знания и навыки приезжих специалистов </w:t>
      </w: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lastRenderedPageBreak/>
        <w:t>значительно ниже, чем у российских на аналогичных должностях. Треть респондентов (33,3%) наблюдают большой разброс в уровне квалификации таких работников, в том числе отмечают наличие специалистов с хорошим образованием и навыками. При этом только 2,7% врачей фиксируют высокий уровень подготовки медиков-мигрантов, сопоставимый с российскими врачами.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58235B2" wp14:editId="1F52F25D">
            <wp:extent cx="5947200" cy="3190427"/>
            <wp:effectExtent l="0" t="0" r="0" b="0"/>
            <wp:docPr id="7" name="Рисунок 7" descr="component_92.png (3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mponent_92.png (34 KB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0" cy="31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2F1252" w:rsidRDefault="00AE23E7" w:rsidP="00AE23E7">
      <w:pPr>
        <w:jc w:val="both"/>
        <w:rPr>
          <w:rStyle w:val="s1"/>
          <w:rFonts w:ascii="Calibri" w:hAnsi="Calibri" w:cs="Calibri"/>
          <w:color w:val="1A1B1D"/>
          <w:sz w:val="24"/>
          <w:szCs w:val="24"/>
        </w:rPr>
      </w:pP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Весной этого года в Минздраве России </w:t>
      </w:r>
      <w:hyperlink r:id="rId27" w:tgtFrame="_blank" w:history="1">
        <w:r w:rsidRPr="002F1252">
          <w:rPr>
            <w:rStyle w:val="s3"/>
            <w:rFonts w:ascii="Calibri" w:hAnsi="Calibri" w:cs="Calibri"/>
            <w:color w:val="E1442F"/>
            <w:sz w:val="24"/>
            <w:szCs w:val="24"/>
          </w:rPr>
          <w:t>сообщали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, что в лечебно-профилактических учреждениях работает 6447 врачей и 4528 средних медицинских работников с иностранным гражданством. Это менее 1% от всех медработников в стране, уточняло ведомство. Сколько из них приходится на дальнее зарубежье, а сколько на страны СНГ, не уточнялось.</w:t>
      </w:r>
    </w:p>
    <w:p w:rsidR="00AE23E7" w:rsidRPr="002F1252" w:rsidRDefault="00AE23E7" w:rsidP="00AE23E7">
      <w:pPr>
        <w:jc w:val="both"/>
        <w:rPr>
          <w:rStyle w:val="s1"/>
          <w:rFonts w:ascii="Calibri" w:hAnsi="Calibri" w:cs="Calibri"/>
          <w:color w:val="1A1B1D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В отличие от иностранных врачей из дальнего зарубежья, медработникам из бывших советских республик не нужно подтверждать квалификацию — у большинства стран ближнего зарубежья с Россией заключены специальные договоры. В России признаются дипломы о высшем образовании, полученные в Азербайджане, Армении, Казахстане, Киргизии, Таджикистане, Белоруссии, Туркмении, Молдове и Эстонии. Кроме того, сейчас упрощенный порядок допуска к работе действует для врачей, которые приезжают из новых территорий или имеют украинский диплом об образовании.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Летом 2024 года первый российский регион — Севастополь — </w:t>
      </w:r>
      <w:hyperlink r:id="rId28" w:tgtFrame="_blank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</w:rPr>
          <w:t>ввел запрет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на работу для мигрантов в медицинской сфере. Кроме нее в список «закрытых» для иностранцев сфер также вошли еще 76 отраслей. Указывалось, что это позволит создать «конкурентные преимущества для граждан РФ».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lastRenderedPageBreak/>
        <w:t>Обсуждаются такие инициативы регулярно и на федеральном уровне. В конце 2023 года депутаты партии «Справедливая Россия» — «За правду» </w:t>
      </w:r>
      <w:hyperlink r:id="rId29" w:tgtFrame="_blank" w:history="1">
        <w:r w:rsidRPr="002F1252">
          <w:rPr>
            <w:rStyle w:val="a3"/>
            <w:rFonts w:ascii="Calibri" w:hAnsi="Calibri" w:cs="Calibri"/>
            <w:color w:val="E1442F"/>
            <w:sz w:val="24"/>
            <w:szCs w:val="24"/>
          </w:rPr>
          <w:t>внесли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 xml:space="preserve"> законопроект о частичном запрете трудоустройства мигрантов в </w:t>
      </w:r>
      <w:proofErr w:type="spellStart"/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медорганизации</w:t>
      </w:r>
      <w:proofErr w:type="spellEnd"/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 xml:space="preserve"> и учреждения социальных услуг. В пояснительной записке отмечалось, что неквалифицированный труд иностранных работников может нанести в некоторых отраслях «больше вреда, чем пользы». Также в числе обоснований инициативы указано, что доходы мигрантов в некоторых случаях превышают зарплаты российских работников.</w:t>
      </w:r>
    </w:p>
    <w:p w:rsidR="00AE23E7" w:rsidRPr="002F1252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В августе 2024 года спикер Госдумы </w:t>
      </w:r>
      <w:r w:rsidRPr="002F1252">
        <w:rPr>
          <w:rStyle w:val="a4"/>
          <w:rFonts w:ascii="Calibri" w:hAnsi="Calibri" w:cs="Calibri"/>
          <w:color w:val="1A1B1D"/>
          <w:sz w:val="24"/>
          <w:szCs w:val="24"/>
        </w:rPr>
        <w:t>Вячеслав Володин</w:t>
      </w:r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заявил также, что одна из прорабатываемых прямо сейчас инициатив — </w:t>
      </w:r>
      <w:hyperlink r:id="rId30" w:tgtFrame="_blank" w:history="1">
        <w:r w:rsidRPr="002F1252">
          <w:rPr>
            <w:rStyle w:val="s2"/>
            <w:rFonts w:ascii="Calibri" w:hAnsi="Calibri" w:cs="Calibri"/>
            <w:color w:val="E1442F"/>
            <w:sz w:val="24"/>
            <w:szCs w:val="24"/>
          </w:rPr>
          <w:t>введение ограничения</w:t>
        </w:r>
      </w:hyperlink>
      <w:r w:rsidRPr="002F1252">
        <w:rPr>
          <w:rStyle w:val="s1"/>
          <w:rFonts w:ascii="Calibri" w:hAnsi="Calibri" w:cs="Calibri"/>
          <w:color w:val="1A1B1D"/>
          <w:sz w:val="24"/>
          <w:szCs w:val="24"/>
        </w:rPr>
        <w:t> на занятие определенными видами трудовой деятельности для иностранных граждан, в том числе в медицине и образовании.</w:t>
      </w:r>
    </w:p>
    <w:p w:rsidR="00AE23E7" w:rsidRPr="00AE23E7" w:rsidRDefault="002F1252" w:rsidP="00AE23E7">
      <w:pPr>
        <w:jc w:val="both"/>
        <w:rPr>
          <w:rFonts w:ascii="Calibri" w:hAnsi="Calibri" w:cs="Calibri"/>
          <w:sz w:val="24"/>
          <w:szCs w:val="24"/>
        </w:rPr>
      </w:pPr>
      <w:hyperlink r:id="rId31" w:history="1">
        <w:r w:rsidR="00AE23E7" w:rsidRPr="002F1252">
          <w:rPr>
            <w:rStyle w:val="a3"/>
            <w:rFonts w:ascii="Calibri" w:hAnsi="Calibri" w:cs="Calibri"/>
            <w:sz w:val="24"/>
            <w:szCs w:val="24"/>
          </w:rPr>
          <w:t>https://medvestnik.ru/content/news/Bolshe-poloviny-vrachei-vystupili-za-zapret-migrantam-rabotat-v-medicine.html</w:t>
        </w:r>
      </w:hyperlink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9462DC" w:rsidRPr="00AE23E7" w:rsidRDefault="009462DC" w:rsidP="00AE23E7">
      <w:pPr>
        <w:jc w:val="both"/>
        <w:rPr>
          <w:rFonts w:ascii="Calibri" w:hAnsi="Calibri" w:cs="Calibri"/>
          <w:sz w:val="24"/>
          <w:szCs w:val="24"/>
        </w:rPr>
      </w:pPr>
    </w:p>
    <w:p w:rsidR="009462DC" w:rsidRPr="00AE23E7" w:rsidRDefault="009462DC" w:rsidP="00AE23E7">
      <w:pPr>
        <w:jc w:val="both"/>
        <w:rPr>
          <w:rFonts w:ascii="Calibri" w:hAnsi="Calibri" w:cs="Calibri"/>
          <w:sz w:val="24"/>
          <w:szCs w:val="24"/>
        </w:rPr>
      </w:pPr>
    </w:p>
    <w:sectPr w:rsidR="009462DC" w:rsidRPr="00AE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07"/>
    <w:rsid w:val="00142B1D"/>
    <w:rsid w:val="00180AB9"/>
    <w:rsid w:val="002F1252"/>
    <w:rsid w:val="004107D5"/>
    <w:rsid w:val="0053105D"/>
    <w:rsid w:val="009462DC"/>
    <w:rsid w:val="00AE23E7"/>
    <w:rsid w:val="00D9524A"/>
    <w:rsid w:val="00E23A7A"/>
    <w:rsid w:val="00E7189A"/>
    <w:rsid w:val="00EE1052"/>
    <w:rsid w:val="00F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1FF3"/>
  <w15:chartTrackingRefBased/>
  <w15:docId w15:val="{412F46D0-7633-429D-8927-B7B4A6B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07907"/>
    <w:rPr>
      <w:color w:val="0000FF"/>
      <w:u w:val="single"/>
    </w:rPr>
  </w:style>
  <w:style w:type="character" w:customStyle="1" w:styleId="s1">
    <w:name w:val="s1"/>
    <w:basedOn w:val="a0"/>
    <w:rsid w:val="00F07907"/>
  </w:style>
  <w:style w:type="paragraph" w:customStyle="1" w:styleId="p1">
    <w:name w:val="p1"/>
    <w:basedOn w:val="a"/>
    <w:rsid w:val="00F0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7907"/>
  </w:style>
  <w:style w:type="character" w:styleId="a4">
    <w:name w:val="Strong"/>
    <w:basedOn w:val="a0"/>
    <w:uiPriority w:val="22"/>
    <w:qFormat/>
    <w:rsid w:val="00F07907"/>
    <w:rPr>
      <w:b/>
      <w:bCs/>
    </w:rPr>
  </w:style>
  <w:style w:type="character" w:customStyle="1" w:styleId="apple-converted-space">
    <w:name w:val="apple-converted-space"/>
    <w:basedOn w:val="a0"/>
    <w:rsid w:val="00F07907"/>
  </w:style>
  <w:style w:type="character" w:customStyle="1" w:styleId="s3">
    <w:name w:val="s3"/>
    <w:basedOn w:val="a0"/>
    <w:rsid w:val="00F07907"/>
  </w:style>
  <w:style w:type="paragraph" w:styleId="a5">
    <w:name w:val="Normal (Web)"/>
    <w:basedOn w:val="a"/>
    <w:uiPriority w:val="99"/>
    <w:semiHidden/>
    <w:unhideWhenUsed/>
    <w:rsid w:val="00F0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9wafk">
    <w:name w:val="paragraph_paragraph__9wafk"/>
    <w:basedOn w:val="a"/>
    <w:rsid w:val="009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аголовок1"/>
    <w:basedOn w:val="a"/>
    <w:rsid w:val="009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3525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644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4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4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2655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96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2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47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Klinreki-vbrod-kak-rossiiskaya-medicina-adaptiruetsya-k-vnedreniu-klinicheskih-rekomendacii.html" TargetMode="External"/><Relationship Id="rId18" Type="http://schemas.openxmlformats.org/officeDocument/2006/relationships/hyperlink" Target="https://medvestnik.ru/content/news/V-regionah-nazvali-prichiny-nizkogo-osvoeniya-subsidii-FOMS-na-oplatu-truda-medrabotnikov.html" TargetMode="External"/><Relationship Id="rId26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hyperlink" Target="https://tass.ru/obschestvo/21756375" TargetMode="External"/><Relationship Id="rId7" Type="http://schemas.openxmlformats.org/officeDocument/2006/relationships/hyperlink" Target="https://medvestnik.ru/content/news/V-kvalifikacionnye-trebovaniya-k-medrabotnikam-vneseny-tri-novye-specialnosti.html" TargetMode="External"/><Relationship Id="rId12" Type="http://schemas.openxmlformats.org/officeDocument/2006/relationships/hyperlink" Target="https://medvestnik.ru/content/news/Minzdrav-utverdil-novyi-standart-lecheniya-pacientov-s-ORVI.html" TargetMode="External"/><Relationship Id="rId17" Type="http://schemas.openxmlformats.org/officeDocument/2006/relationships/hyperlink" Target="https://regulation.gov.ru/Regulation/Npa/PublicView?npaID=150484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dvestnik.ru/content/news/Minzdrav-otmenil-508-standartov-medpomoshi.html" TargetMode="External"/><Relationship Id="rId20" Type="http://schemas.openxmlformats.org/officeDocument/2006/relationships/hyperlink" Target="https://rg.ru/2024/08/27/reg-szfo/postanovku-diagnozov-strahovshchiki-otkorrektiruiut-rublem.html?utm_source=yxnews&amp;utm_medium=desktop&amp;utm_referrer=https%3A%2F%2Fdzen.ru%2Fnews%2Fsearch%3Ftext%3D" TargetMode="External"/><Relationship Id="rId29" Type="http://schemas.openxmlformats.org/officeDocument/2006/relationships/hyperlink" Target="https://sozd.duma.gov.ru/bill/453077-8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vestnik.ru/content/news/Minzdrav-otlojit-vstuplenie-Poryadka-medpomoshi-po-detskoi-onkologii-i-gematologii-na-dva-goda.html" TargetMode="External"/><Relationship Id="rId11" Type="http://schemas.openxmlformats.org/officeDocument/2006/relationships/hyperlink" Target="https://medvestnik.ru/content/news/Minzdrav-otmenit-500-standartov-medpomoshi.html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hyperlink" Target="https://medvestnik.ru/content/documents/437n-ot-28-08-2024.html" TargetMode="External"/><Relationship Id="rId15" Type="http://schemas.openxmlformats.org/officeDocument/2006/relationships/hyperlink" Target="https://medvestnik.ru/content/news/Standarty-medpomoshi-ne-budut-ocenivatsya-pri-provedenii-kontrolno-ekspertnyh-meropriyatii.html" TargetMode="External"/><Relationship Id="rId23" Type="http://schemas.openxmlformats.org/officeDocument/2006/relationships/hyperlink" Target="https://medvestnik.ru/content/tests/Podderjivaete-li-vy-zapret-na-rabotu-migrantam-v-medicine.html" TargetMode="External"/><Relationship Id="rId28" Type="http://schemas.openxmlformats.org/officeDocument/2006/relationships/hyperlink" Target="https://sev.gov.ru/docs/257/220418/" TargetMode="External"/><Relationship Id="rId10" Type="http://schemas.openxmlformats.org/officeDocument/2006/relationships/hyperlink" Target="https://medvestnik.ru/content/news/Minzdrav-otlojit-vstuplenie-Poryadka-medpomoshi-po-detskoi-onkologii-i-gematologii-eshe-na-god.html" TargetMode="External"/><Relationship Id="rId19" Type="http://schemas.openxmlformats.org/officeDocument/2006/relationships/hyperlink" Target="https://medvestnik.ru/content/news/Minzdrav-predlojil-uvelichit-obem-finansirovaniya-meduchrejdenii-na-oplatu-truda.html?utm_source=yxnews&amp;utm_medium=desktop&amp;utm_referrer=https%3A%2F%2Fdzen.ru%2Fnews%2Fsearch%3Ftext%3D" TargetMode="External"/><Relationship Id="rId31" Type="http://schemas.openxmlformats.org/officeDocument/2006/relationships/hyperlink" Target="https://medvestnik.ru/content/news/Bolshe-poloviny-vrachei-vystupili-za-zapret-migrantam-rabotat-v-medicin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Vracham-shesti-specialnostei-razreshat-pereuchivatsya-na-detskogo-onkologa.html" TargetMode="External"/><Relationship Id="rId14" Type="http://schemas.openxmlformats.org/officeDocument/2006/relationships/hyperlink" Target="https://medvestnik.ru/content/news/Minzdrav-predpisal-regionam-gotovit-specialistov-k-rabote-v-sootvetstvii-s-KR.html" TargetMode="External"/><Relationship Id="rId22" Type="http://schemas.openxmlformats.org/officeDocument/2006/relationships/hyperlink" Target="https://medvestnik.ru/content/news/V-Obshestvennoi-palate-predlojili-sokratit-sroki-otveta-medorganizacii-na-jalobu-pacienta.html" TargetMode="External"/><Relationship Id="rId27" Type="http://schemas.openxmlformats.org/officeDocument/2006/relationships/hyperlink" Target="https://newizv.ru/news/2024-05-04/inostrantsy-v-rossiyskoy-meditsine-novoe-reshenie-defitsita-kadrov-429878" TargetMode="External"/><Relationship Id="rId30" Type="http://schemas.openxmlformats.org/officeDocument/2006/relationships/hyperlink" Target="http://duma.gov.ru/news/59872/" TargetMode="External"/><Relationship Id="rId8" Type="http://schemas.openxmlformats.org/officeDocument/2006/relationships/hyperlink" Target="https://medvestnik.ru/content/news/Kajdyi-pyatyi-centr-ambulatornoi-onkologii-ne-ukomplektovan-specialistami-daje-na-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4</cp:revision>
  <dcterms:created xsi:type="dcterms:W3CDTF">2024-09-09T13:09:00Z</dcterms:created>
  <dcterms:modified xsi:type="dcterms:W3CDTF">2024-09-12T11:45:00Z</dcterms:modified>
</cp:coreProperties>
</file>